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748A0">
      <w:pPr>
        <w:jc w:val="center"/>
        <w:rPr>
          <w:rFonts w:hint="eastAsia" w:ascii="仿宋" w:hAnsi="仿宋" w:eastAsia="仿宋"/>
          <w:color w:val="000000" w:themeColor="text1"/>
          <w:sz w:val="48"/>
          <w:szCs w:val="48"/>
          <w14:textFill>
            <w14:solidFill>
              <w14:schemeClr w14:val="tx1"/>
            </w14:solidFill>
          </w14:textFill>
        </w:rPr>
      </w:pPr>
    </w:p>
    <w:p w14:paraId="2B37E783">
      <w:pPr>
        <w:jc w:val="center"/>
        <w:rPr>
          <w:rFonts w:hint="eastAsia" w:ascii="仿宋" w:hAnsi="仿宋" w:eastAsia="仿宋"/>
          <w:color w:val="000000" w:themeColor="text1"/>
          <w:sz w:val="48"/>
          <w:szCs w:val="48"/>
          <w14:textFill>
            <w14:solidFill>
              <w14:schemeClr w14:val="tx1"/>
            </w14:solidFill>
          </w14:textFill>
        </w:rPr>
      </w:pPr>
    </w:p>
    <w:p w14:paraId="5079B6BC">
      <w:pPr>
        <w:jc w:val="center"/>
        <w:rPr>
          <w:rFonts w:hint="eastAsia" w:ascii="仿宋" w:hAnsi="仿宋" w:eastAsia="仿宋"/>
          <w:color w:val="000000" w:themeColor="text1"/>
          <w:sz w:val="48"/>
          <w:szCs w:val="48"/>
          <w14:textFill>
            <w14:solidFill>
              <w14:schemeClr w14:val="tx1"/>
            </w14:solidFill>
          </w14:textFill>
        </w:rPr>
      </w:pPr>
    </w:p>
    <w:p w14:paraId="6540FF15">
      <w:pPr>
        <w:jc w:val="center"/>
        <w:rPr>
          <w:rFonts w:hint="eastAsia" w:ascii="仿宋" w:hAnsi="仿宋" w:eastAsia="仿宋"/>
          <w:color w:val="000000" w:themeColor="text1"/>
          <w:sz w:val="48"/>
          <w:szCs w:val="48"/>
          <w14:textFill>
            <w14:solidFill>
              <w14:schemeClr w14:val="tx1"/>
            </w14:solidFill>
          </w14:textFill>
        </w:rPr>
      </w:pPr>
    </w:p>
    <w:p w14:paraId="2859FD08">
      <w:pPr>
        <w:jc w:val="center"/>
        <w:rPr>
          <w:rFonts w:hint="eastAsia" w:ascii="仿宋" w:hAnsi="仿宋" w:eastAsia="仿宋"/>
          <w:color w:val="000000" w:themeColor="text1"/>
          <w:sz w:val="48"/>
          <w:szCs w:val="48"/>
          <w14:textFill>
            <w14:solidFill>
              <w14:schemeClr w14:val="tx1"/>
            </w14:solidFill>
          </w14:textFill>
        </w:rPr>
      </w:pPr>
      <w:r>
        <w:rPr>
          <w:rFonts w:hint="eastAsia" w:ascii="仿宋" w:hAnsi="仿宋" w:eastAsia="仿宋"/>
          <w:color w:val="000000" w:themeColor="text1"/>
          <w:sz w:val="48"/>
          <w:szCs w:val="48"/>
          <w14:textFill>
            <w14:solidFill>
              <w14:schemeClr w14:val="tx1"/>
            </w14:solidFill>
          </w14:textFill>
        </w:rPr>
        <w:t xml:space="preserve">《大型结构整体安装同步施工风险评估》 </w:t>
      </w:r>
    </w:p>
    <w:p w14:paraId="192BB067">
      <w:pPr>
        <w:jc w:val="center"/>
        <w:rPr>
          <w:rFonts w:hint="eastAsia" w:ascii="仿宋" w:hAnsi="仿宋" w:eastAsia="仿宋"/>
          <w:color w:val="000000" w:themeColor="text1"/>
          <w:sz w:val="48"/>
          <w:szCs w:val="48"/>
          <w14:textFill>
            <w14:solidFill>
              <w14:schemeClr w14:val="tx1"/>
            </w14:solidFill>
          </w14:textFill>
        </w:rPr>
      </w:pPr>
      <w:r>
        <w:rPr>
          <w:rFonts w:hint="eastAsia" w:ascii="仿宋" w:hAnsi="仿宋" w:eastAsia="仿宋"/>
          <w:color w:val="000000" w:themeColor="text1"/>
          <w:sz w:val="48"/>
          <w:szCs w:val="48"/>
          <w14:textFill>
            <w14:solidFill>
              <w14:schemeClr w14:val="tx1"/>
            </w14:solidFill>
          </w14:textFill>
        </w:rPr>
        <w:t>团体标准编制说明</w:t>
      </w:r>
    </w:p>
    <w:p w14:paraId="6E11A579">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（征求意见稿）</w:t>
      </w:r>
    </w:p>
    <w:p w14:paraId="63535102">
      <w:pPr>
        <w:rPr>
          <w:rFonts w:hint="eastAsia" w:ascii="仿宋" w:hAnsi="仿宋" w:eastAsia="仿宋"/>
          <w:color w:val="000000" w:themeColor="text1"/>
          <w:sz w:val="28"/>
          <w:szCs w:val="28"/>
          <w14:textFill>
            <w14:solidFill>
              <w14:schemeClr w14:val="tx1"/>
            </w14:solidFill>
          </w14:textFill>
        </w:rPr>
      </w:pPr>
    </w:p>
    <w:p w14:paraId="53D2D02C">
      <w:pPr>
        <w:rPr>
          <w:rFonts w:hint="eastAsia" w:ascii="仿宋" w:hAnsi="仿宋" w:eastAsia="仿宋"/>
          <w:color w:val="000000" w:themeColor="text1"/>
          <w:sz w:val="28"/>
          <w:szCs w:val="28"/>
          <w14:textFill>
            <w14:solidFill>
              <w14:schemeClr w14:val="tx1"/>
            </w14:solidFill>
          </w14:textFill>
        </w:rPr>
      </w:pPr>
    </w:p>
    <w:p w14:paraId="76C49C95">
      <w:pPr>
        <w:rPr>
          <w:rFonts w:hint="eastAsia" w:ascii="仿宋" w:hAnsi="仿宋" w:eastAsia="仿宋"/>
          <w:color w:val="000000" w:themeColor="text1"/>
          <w:sz w:val="28"/>
          <w:szCs w:val="28"/>
          <w14:textFill>
            <w14:solidFill>
              <w14:schemeClr w14:val="tx1"/>
            </w14:solidFill>
          </w14:textFill>
        </w:rPr>
      </w:pPr>
    </w:p>
    <w:p w14:paraId="7F0324DE">
      <w:pPr>
        <w:rPr>
          <w:rFonts w:hint="eastAsia" w:ascii="仿宋" w:hAnsi="仿宋" w:eastAsia="仿宋"/>
          <w:color w:val="000000" w:themeColor="text1"/>
          <w:sz w:val="28"/>
          <w:szCs w:val="28"/>
          <w14:textFill>
            <w14:solidFill>
              <w14:schemeClr w14:val="tx1"/>
            </w14:solidFill>
          </w14:textFill>
        </w:rPr>
      </w:pPr>
    </w:p>
    <w:p w14:paraId="3E1A0C39">
      <w:pPr>
        <w:rPr>
          <w:rFonts w:hint="eastAsia" w:ascii="仿宋" w:hAnsi="仿宋" w:eastAsia="仿宋"/>
          <w:color w:val="000000" w:themeColor="text1"/>
          <w:sz w:val="28"/>
          <w:szCs w:val="28"/>
          <w14:textFill>
            <w14:solidFill>
              <w14:schemeClr w14:val="tx1"/>
            </w14:solidFill>
          </w14:textFill>
        </w:rPr>
      </w:pPr>
    </w:p>
    <w:p w14:paraId="0D374D41">
      <w:pPr>
        <w:rPr>
          <w:rFonts w:hint="eastAsia" w:ascii="仿宋" w:hAnsi="仿宋" w:eastAsia="仿宋"/>
          <w:color w:val="000000" w:themeColor="text1"/>
          <w:sz w:val="28"/>
          <w:szCs w:val="28"/>
          <w14:textFill>
            <w14:solidFill>
              <w14:schemeClr w14:val="tx1"/>
            </w14:solidFill>
          </w14:textFill>
        </w:rPr>
      </w:pPr>
    </w:p>
    <w:p w14:paraId="6F361B08">
      <w:pPr>
        <w:rPr>
          <w:rFonts w:hint="eastAsia" w:ascii="仿宋" w:hAnsi="仿宋" w:eastAsia="仿宋"/>
          <w:color w:val="000000" w:themeColor="text1"/>
          <w:sz w:val="28"/>
          <w:szCs w:val="28"/>
          <w14:textFill>
            <w14:solidFill>
              <w14:schemeClr w14:val="tx1"/>
            </w14:solidFill>
          </w14:textFill>
        </w:rPr>
      </w:pPr>
    </w:p>
    <w:p w14:paraId="7D932FC4">
      <w:pPr>
        <w:rPr>
          <w:rFonts w:hint="eastAsia" w:ascii="仿宋" w:hAnsi="仿宋" w:eastAsia="仿宋"/>
          <w:color w:val="000000" w:themeColor="text1"/>
          <w:sz w:val="28"/>
          <w:szCs w:val="28"/>
          <w14:textFill>
            <w14:solidFill>
              <w14:schemeClr w14:val="tx1"/>
            </w14:solidFill>
          </w14:textFill>
        </w:rPr>
      </w:pPr>
    </w:p>
    <w:p w14:paraId="149EEB65">
      <w:pPr>
        <w:rPr>
          <w:rFonts w:hint="eastAsia" w:ascii="仿宋" w:hAnsi="仿宋" w:eastAsia="仿宋"/>
          <w:color w:val="000000" w:themeColor="text1"/>
          <w:sz w:val="28"/>
          <w:szCs w:val="28"/>
          <w14:textFill>
            <w14:solidFill>
              <w14:schemeClr w14:val="tx1"/>
            </w14:solidFill>
          </w14:textFill>
        </w:rPr>
      </w:pPr>
    </w:p>
    <w:p w14:paraId="72FC78F7">
      <w:pPr>
        <w:rPr>
          <w:rFonts w:hint="eastAsia" w:ascii="仿宋" w:hAnsi="仿宋" w:eastAsia="仿宋"/>
          <w:color w:val="000000" w:themeColor="text1"/>
          <w:sz w:val="28"/>
          <w:szCs w:val="28"/>
          <w14:textFill>
            <w14:solidFill>
              <w14:schemeClr w14:val="tx1"/>
            </w14:solidFill>
          </w14:textFill>
        </w:rPr>
      </w:pPr>
    </w:p>
    <w:p w14:paraId="1DA2D15F">
      <w:pPr>
        <w:rPr>
          <w:rFonts w:hint="eastAsia" w:ascii="仿宋" w:hAnsi="仿宋" w:eastAsia="仿宋"/>
          <w:color w:val="000000" w:themeColor="text1"/>
          <w:sz w:val="28"/>
          <w:szCs w:val="28"/>
          <w14:textFill>
            <w14:solidFill>
              <w14:schemeClr w14:val="tx1"/>
            </w14:solidFill>
          </w14:textFill>
        </w:rPr>
      </w:pPr>
    </w:p>
    <w:p w14:paraId="106F209A">
      <w:pPr>
        <w:jc w:val="righ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《大型结构整体安装同步施工风险评估》标准起草编制组</w:t>
      </w:r>
    </w:p>
    <w:p w14:paraId="5AE94F78">
      <w:pPr>
        <w:jc w:val="righ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月</w:t>
      </w:r>
    </w:p>
    <w:p w14:paraId="09DEE618">
      <w:pPr>
        <w:widowControl/>
        <w:jc w:val="left"/>
        <w:rPr>
          <w:rFonts w:hint="eastAsia"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543DB10C">
      <w:pPr>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《大型结构整体安装同步施工风险评估》团体标准</w:t>
      </w:r>
    </w:p>
    <w:p w14:paraId="5816373F">
      <w:pPr>
        <w:jc w:val="center"/>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编制说明</w:t>
      </w:r>
    </w:p>
    <w:p w14:paraId="2106AB3D">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一、工作简况，包括任务来源、主要工作过程、主要参加单位和工作组 成员及其所做的工作等；</w:t>
      </w:r>
    </w:p>
    <w:p w14:paraId="00FDB507">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1.任务来源 </w:t>
      </w:r>
    </w:p>
    <w:p w14:paraId="31DA3854">
      <w:pPr>
        <w:ind w:firstLine="560" w:firstLineChars="200"/>
        <w:rPr>
          <w:rFonts w:ascii="仿宋" w:hAnsi="仿宋" w:eastAsia="仿宋"/>
          <w:color w:val="000000" w:themeColor="text1"/>
          <w:sz w:val="28"/>
          <w:szCs w:val="28"/>
          <w:highlight w:val="yellow"/>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根据中国工程机械学会标准化工作委员会2024年《关于〈大型结构整体安装同步施工</w:t>
      </w:r>
      <w:r>
        <w:rPr>
          <w:rFonts w:hint="eastAsia" w:ascii="仿宋" w:hAnsi="仿宋" w:eastAsia="仿宋"/>
          <w:color w:val="000000" w:themeColor="text1"/>
          <w:sz w:val="28"/>
          <w:szCs w:val="28"/>
          <w:lang w:val="en-US" w:eastAsia="zh-CN"/>
          <w14:textFill>
            <w14:solidFill>
              <w14:schemeClr w14:val="tx1"/>
            </w14:solidFill>
          </w14:textFill>
        </w:rPr>
        <w:t>结构设计规程</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等四项团体标准立项的公告</w:t>
      </w:r>
      <w:r>
        <w:rPr>
          <w:rFonts w:hint="eastAsia" w:ascii="仿宋" w:hAnsi="仿宋" w:eastAsia="仿宋"/>
          <w:color w:val="000000" w:themeColor="text1"/>
          <w:sz w:val="28"/>
          <w:szCs w:val="28"/>
          <w14:textFill>
            <w14:solidFill>
              <w14:schemeClr w14:val="tx1"/>
            </w14:solidFill>
          </w14:textFill>
        </w:rPr>
        <w:t>》，本项目正式立项。</w:t>
      </w:r>
      <w:r>
        <w:rPr>
          <w:rFonts w:hint="eastAsia" w:ascii="仿宋" w:hAnsi="仿宋" w:eastAsia="仿宋"/>
          <w:color w:val="000000" w:themeColor="text1"/>
          <w:sz w:val="28"/>
          <w:szCs w:val="28"/>
          <w:highlight w:val="none"/>
          <w14:textFill>
            <w14:solidFill>
              <w14:schemeClr w14:val="tx1"/>
            </w14:solidFill>
          </w14:textFill>
        </w:rPr>
        <w:t>该项标准旨在</w:t>
      </w:r>
      <w:r>
        <w:rPr>
          <w:rFonts w:hint="eastAsia" w:ascii="仿宋" w:hAnsi="仿宋" w:eastAsia="仿宋"/>
          <w:color w:val="000000" w:themeColor="text1"/>
          <w:sz w:val="28"/>
          <w:szCs w:val="28"/>
          <w:highlight w:val="none"/>
          <w:lang w:val="en-US" w:eastAsia="zh-CN"/>
          <w14:textFill>
            <w14:solidFill>
              <w14:schemeClr w14:val="tx1"/>
            </w14:solidFill>
          </w14:textFill>
        </w:rPr>
        <w:t>规范</w:t>
      </w:r>
      <w:r>
        <w:rPr>
          <w:rFonts w:hint="eastAsia" w:ascii="仿宋" w:hAnsi="仿宋" w:eastAsia="仿宋"/>
          <w:color w:val="000000" w:themeColor="text1"/>
          <w:sz w:val="28"/>
          <w:szCs w:val="28"/>
          <w:highlight w:val="none"/>
          <w14:textFill>
            <w14:solidFill>
              <w14:schemeClr w14:val="tx1"/>
            </w14:solidFill>
          </w14:textFill>
        </w:rPr>
        <w:t>大</w:t>
      </w:r>
      <w:r>
        <w:rPr>
          <w:rFonts w:hint="eastAsia" w:ascii="仿宋" w:hAnsi="仿宋" w:eastAsia="仿宋"/>
          <w:color w:val="000000" w:themeColor="text1"/>
          <w:sz w:val="28"/>
          <w:szCs w:val="28"/>
          <w14:textFill>
            <w14:solidFill>
              <w14:schemeClr w14:val="tx1"/>
            </w14:solidFill>
          </w14:textFill>
        </w:rPr>
        <w:t>型结构整体安装同步施工危险源辨识、风险分析、风险评价和风险</w:t>
      </w:r>
      <w:r>
        <w:rPr>
          <w:rFonts w:hint="eastAsia" w:ascii="仿宋" w:hAnsi="仿宋" w:eastAsia="仿宋"/>
          <w:color w:val="000000" w:themeColor="text1"/>
          <w:sz w:val="28"/>
          <w:szCs w:val="28"/>
          <w:lang w:val="en-US" w:eastAsia="zh-CN"/>
          <w14:textFill>
            <w14:solidFill>
              <w14:schemeClr w14:val="tx1"/>
            </w14:solidFill>
          </w14:textFill>
        </w:rPr>
        <w:t>控制</w:t>
      </w:r>
      <w:r>
        <w:rPr>
          <w:rFonts w:hint="eastAsia" w:ascii="仿宋" w:hAnsi="仿宋" w:eastAsia="仿宋"/>
          <w:color w:val="000000" w:themeColor="text1"/>
          <w:sz w:val="28"/>
          <w:szCs w:val="28"/>
          <w14:textFill>
            <w14:solidFill>
              <w14:schemeClr w14:val="tx1"/>
            </w14:solidFill>
          </w14:textFill>
        </w:rPr>
        <w:t>工作</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有效控制施工安全风险，减少项目安全事故发生。</w:t>
      </w:r>
    </w:p>
    <w:p w14:paraId="4371A494">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2.主要工作过程 </w:t>
      </w:r>
    </w:p>
    <w:p w14:paraId="1A25BD37">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起草阶段：2024年9月成立标准起草组，</w:t>
      </w:r>
      <w:r>
        <w:rPr>
          <w:rFonts w:hint="eastAsia" w:ascii="仿宋" w:hAnsi="仿宋" w:eastAsia="仿宋"/>
          <w:color w:val="000000" w:themeColor="text1"/>
          <w:sz w:val="28"/>
          <w:szCs w:val="28"/>
          <w:highlight w:val="none"/>
          <w14:textFill>
            <w14:solidFill>
              <w14:schemeClr w14:val="tx1"/>
            </w14:solidFill>
          </w14:textFill>
        </w:rPr>
        <w:t>由</w:t>
      </w:r>
      <w:r>
        <w:rPr>
          <w:rFonts w:hint="eastAsia" w:ascii="仿宋" w:hAnsi="仿宋" w:eastAsia="仿宋"/>
          <w:color w:val="000000" w:themeColor="text1"/>
          <w:sz w:val="28"/>
          <w:szCs w:val="28"/>
          <w:highlight w:val="none"/>
          <w:lang w:val="en-US" w:eastAsia="zh-CN"/>
          <w14:textFill>
            <w14:solidFill>
              <w14:schemeClr w14:val="tx1"/>
            </w14:solidFill>
          </w14:textFill>
        </w:rPr>
        <w:t>中交第二航务工程局有限公司</w:t>
      </w:r>
      <w:r>
        <w:rPr>
          <w:rFonts w:hint="eastAsia" w:ascii="仿宋" w:hAnsi="仿宋" w:eastAsia="仿宋"/>
          <w:color w:val="000000" w:themeColor="text1"/>
          <w:sz w:val="28"/>
          <w:szCs w:val="28"/>
          <w:highlight w:val="none"/>
          <w14:textFill>
            <w14:solidFill>
              <w14:schemeClr w14:val="tx1"/>
            </w14:solidFill>
          </w14:textFill>
        </w:rPr>
        <w:t>为组长单位</w:t>
      </w:r>
      <w:r>
        <w:rPr>
          <w:rFonts w:hint="eastAsia" w:ascii="仿宋" w:hAnsi="仿宋" w:eastAsia="仿宋"/>
          <w:color w:val="000000" w:themeColor="text1"/>
          <w:sz w:val="28"/>
          <w:szCs w:val="28"/>
          <w14:textFill>
            <w14:solidFill>
              <w14:schemeClr w14:val="tx1"/>
            </w14:solidFill>
          </w14:textFill>
        </w:rPr>
        <w:t>，负责标准的资料收集以及起草工作，明确了标准的主要技术内容、进度安排及有关要求。</w:t>
      </w:r>
    </w:p>
    <w:p w14:paraId="75931E8B">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2024年9月-2024年1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月，起草组收集并研读了GB/T 13861-2022《生产过程危险和有害因素分类与代码》、GB/T 23694-2013《风险管理术语》、GB 51162-2016《重型结构和设备整体提升技术规范》等相关标准，经过多次内部讨论与专家咨询，确定了标准的行文结构和相关具体要求</w:t>
      </w:r>
      <w:r>
        <w:rPr>
          <w:rFonts w:hint="eastAsia" w:ascii="仿宋" w:hAnsi="仿宋" w:eastAsia="仿宋"/>
          <w:color w:val="000000" w:themeColor="text1"/>
          <w:sz w:val="28"/>
          <w:szCs w:val="28"/>
          <w:lang w:eastAsia="zh-CN"/>
          <w14:textFill>
            <w14:solidFill>
              <w14:schemeClr w14:val="tx1"/>
            </w14:solidFill>
          </w14:textFill>
        </w:rPr>
        <w:t>。</w:t>
      </w:r>
    </w:p>
    <w:p w14:paraId="3E7DEC57">
      <w:pPr>
        <w:pStyle w:val="2"/>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2024年12月-2025年3月，标准起草组广泛收集已完工项目风险评估报告及施工方案，通过现场访谈、线上会议等形式初步确定了同步施工风险源清单。</w:t>
      </w:r>
    </w:p>
    <w:p w14:paraId="31CB151D">
      <w:pPr>
        <w:pStyle w:val="2"/>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2025年3月-2025年6月，标准起草组就同步施工风险源辨识清单进行了多轮次会议讨论，确定了同步顶推、提升及滑移风险源清单。</w:t>
      </w:r>
    </w:p>
    <w:p w14:paraId="7C9F09CA">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2025年6月-2025年9月，标准起草组基于坍塌、起重伤害等风险事件类型，确定了重大作业活动可能性评估指标体系。</w:t>
      </w:r>
    </w:p>
    <w:p w14:paraId="1C2519E9">
      <w:pPr>
        <w:ind w:firstLine="560" w:firstLineChars="200"/>
        <w:rPr>
          <w:rFonts w:hint="eastAsia"/>
          <w:color w:val="000000" w:themeColor="text1"/>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2025年</w:t>
      </w:r>
      <w:r>
        <w:rPr>
          <w:rFonts w:hint="eastAsia" w:ascii="仿宋" w:hAnsi="仿宋" w:eastAsia="仿宋"/>
          <w:color w:val="000000" w:themeColor="text1"/>
          <w:sz w:val="28"/>
          <w:szCs w:val="28"/>
          <w:lang w:val="en-US" w:eastAsia="zh-CN"/>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月-202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标准起草组就标准内容进行修改和讨论，</w:t>
      </w:r>
      <w:r>
        <w:rPr>
          <w:rFonts w:hint="eastAsia" w:ascii="仿宋" w:hAnsi="仿宋" w:eastAsia="仿宋"/>
          <w:color w:val="000000" w:themeColor="text1"/>
          <w:sz w:val="28"/>
          <w:szCs w:val="28"/>
          <w14:textFill>
            <w14:solidFill>
              <w14:schemeClr w14:val="tx1"/>
            </w14:solidFill>
          </w14:textFill>
        </w:rPr>
        <w:t>形成本标准的征求意见稿。</w:t>
      </w:r>
    </w:p>
    <w:p w14:paraId="39A0FCED">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3.主要参加单位和工作组成员及其所做的工作</w:t>
      </w:r>
    </w:p>
    <w:p w14:paraId="4361F7A2">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本文件由</w:t>
      </w:r>
      <w:r>
        <w:rPr>
          <w:rFonts w:hint="eastAsia" w:ascii="仿宋" w:hAnsi="仿宋" w:eastAsia="仿宋"/>
          <w:color w:val="000000" w:themeColor="text1"/>
          <w:sz w:val="28"/>
          <w:szCs w:val="28"/>
          <w:highlight w:val="none"/>
          <w:lang w:val="en-US" w:eastAsia="zh-CN"/>
          <w14:textFill>
            <w14:solidFill>
              <w14:schemeClr w14:val="tx1"/>
            </w14:solidFill>
          </w14:textFill>
        </w:rPr>
        <w:t>中交第二航务工程局有限公司、同济大学、中交武汉港湾工程设计研究院有限公司、上海同新机电控制技术有限公司</w:t>
      </w:r>
      <w:r>
        <w:rPr>
          <w:rFonts w:hint="eastAsia" w:ascii="仿宋" w:hAnsi="仿宋" w:eastAsia="仿宋"/>
          <w:color w:val="000000" w:themeColor="text1"/>
          <w:sz w:val="28"/>
          <w:szCs w:val="28"/>
          <w:highlight w:val="none"/>
          <w14:textFill>
            <w14:solidFill>
              <w14:schemeClr w14:val="tx1"/>
            </w14:solidFill>
          </w14:textFill>
        </w:rPr>
        <w:t>起草。</w:t>
      </w:r>
    </w:p>
    <w:p w14:paraId="59545C88">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主要成员：</w:t>
      </w:r>
      <w:r>
        <w:rPr>
          <w:rFonts w:hint="eastAsia" w:ascii="仿宋" w:hAnsi="仿宋" w:eastAsia="仿宋"/>
          <w:color w:val="000000" w:themeColor="text1"/>
          <w:sz w:val="28"/>
          <w:szCs w:val="28"/>
          <w:lang w:val="en-US" w:eastAsia="zh-CN"/>
          <w14:textFill>
            <w14:solidFill>
              <w14:schemeClr w14:val="tx1"/>
            </w14:solidFill>
          </w14:textFill>
        </w:rPr>
        <w:t>杨秀礼</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卞永明、程茂林</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朱明清</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陈力、刘文</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闻国骄、秦利升、李怀东</w:t>
      </w:r>
    </w:p>
    <w:p w14:paraId="4ACEF37D">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所做的工作：</w:t>
      </w:r>
      <w:r>
        <w:rPr>
          <w:rFonts w:hint="eastAsia" w:ascii="仿宋" w:hAnsi="仿宋" w:eastAsia="仿宋"/>
          <w:color w:val="000000" w:themeColor="text1"/>
          <w:sz w:val="28"/>
          <w:szCs w:val="28"/>
          <w:lang w:val="en-US" w:eastAsia="zh-CN"/>
          <w14:textFill>
            <w14:solidFill>
              <w14:schemeClr w14:val="tx1"/>
            </w14:solidFill>
          </w14:textFill>
        </w:rPr>
        <w:t>杨秀礼、卞永明</w:t>
      </w:r>
      <w:r>
        <w:rPr>
          <w:rFonts w:hint="eastAsia" w:ascii="仿宋" w:hAnsi="仿宋" w:eastAsia="仿宋"/>
          <w:color w:val="000000" w:themeColor="text1"/>
          <w:sz w:val="28"/>
          <w:szCs w:val="28"/>
          <w14:textFill>
            <w14:solidFill>
              <w14:schemeClr w14:val="tx1"/>
            </w14:solidFill>
          </w14:textFill>
        </w:rPr>
        <w:t>主持全面协调工作，负责对各阶段标准的审核；</w:t>
      </w:r>
      <w:r>
        <w:rPr>
          <w:rFonts w:hint="eastAsia" w:ascii="仿宋" w:hAnsi="仿宋" w:eastAsia="仿宋"/>
          <w:color w:val="000000" w:themeColor="text1"/>
          <w:sz w:val="28"/>
          <w:szCs w:val="28"/>
          <w:lang w:val="en-US" w:eastAsia="zh-CN"/>
          <w14:textFill>
            <w14:solidFill>
              <w14:schemeClr w14:val="tx1"/>
            </w14:solidFill>
          </w14:textFill>
        </w:rPr>
        <w:t>程茂林</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朱明清</w:t>
      </w:r>
      <w:r>
        <w:rPr>
          <w:rFonts w:hint="eastAsia" w:ascii="仿宋" w:hAnsi="仿宋" w:eastAsia="仿宋"/>
          <w:color w:val="000000" w:themeColor="text1"/>
          <w:sz w:val="28"/>
          <w:szCs w:val="28"/>
          <w14:textFill>
            <w14:solidFill>
              <w14:schemeClr w14:val="tx1"/>
            </w14:solidFill>
          </w14:textFill>
        </w:rPr>
        <w:t>为主要资料查询人员，对国内外相关文献和资料的收集、分析及资料查证</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闻国骄、李怀东</w:t>
      </w:r>
      <w:r>
        <w:rPr>
          <w:rFonts w:hint="eastAsia" w:ascii="仿宋" w:hAnsi="仿宋" w:eastAsia="仿宋"/>
          <w:color w:val="000000" w:themeColor="text1"/>
          <w:sz w:val="28"/>
          <w:szCs w:val="28"/>
          <w14:textFill>
            <w14:solidFill>
              <w14:schemeClr w14:val="tx1"/>
            </w14:solidFill>
          </w14:textFill>
        </w:rPr>
        <w:t>为主笔人</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对各方面的意见及建议进行归纳、整理与总结，负责起草与编制工作。</w:t>
      </w:r>
    </w:p>
    <w:p w14:paraId="4C483AF1">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二、标准编制原则和主要内容（如技术指标、参数、公式、性能要求、 试验方法、检验规则等）的论据，解决的主要问题，修订标准时应列出与原标准的主要差异和水平对比；</w:t>
      </w:r>
    </w:p>
    <w:p w14:paraId="3C7365E2">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1、编制的基本原则 </w:t>
      </w:r>
    </w:p>
    <w:p w14:paraId="53126177">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1）贯彻我国相关的法律法规和强制性国家标准，与我国现行标准协调一致。</w:t>
      </w:r>
    </w:p>
    <w:p w14:paraId="2D907C5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2）满足行业发展需求，提升标准技术水平，适应产业发展需要。 </w:t>
      </w:r>
    </w:p>
    <w:p w14:paraId="345C650A">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3）满足市场需要，保证产品质量，规范市场秩序，保护消费者利益。 </w:t>
      </w:r>
    </w:p>
    <w:p w14:paraId="3C998D4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4）积极向国际标准靠拢，力求做到标准内容的先进性。 </w:t>
      </w:r>
    </w:p>
    <w:p w14:paraId="7A8E1E07">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5）根据国内企业具体情况，力求做到标准的合理性、经济性与实用性。</w:t>
      </w:r>
    </w:p>
    <w:p w14:paraId="0D1C2B41">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6）符合</w:t>
      </w:r>
      <w:r>
        <w:rPr>
          <w:rFonts w:eastAsia="仿宋"/>
          <w:color w:val="000000" w:themeColor="text1"/>
          <w:sz w:val="28"/>
          <w:szCs w:val="28"/>
          <w14:textFill>
            <w14:solidFill>
              <w14:schemeClr w14:val="tx1"/>
            </w14:solidFill>
          </w14:textFill>
        </w:rPr>
        <w:t>GB/T1.1-2020</w:t>
      </w:r>
      <w:r>
        <w:rPr>
          <w:rFonts w:hint="eastAsia" w:ascii="仿宋" w:hAnsi="仿宋" w:eastAsia="仿宋"/>
          <w:color w:val="000000" w:themeColor="text1"/>
          <w:sz w:val="28"/>
          <w:szCs w:val="28"/>
          <w14:textFill>
            <w14:solidFill>
              <w14:schemeClr w14:val="tx1"/>
            </w14:solidFill>
          </w14:textFill>
        </w:rPr>
        <w:t>《标准化工作导则第1部分：标准的结构和编写》、</w:t>
      </w:r>
      <w:r>
        <w:rPr>
          <w:rFonts w:eastAsia="仿宋"/>
          <w:color w:val="000000" w:themeColor="text1"/>
          <w:sz w:val="28"/>
          <w:szCs w:val="28"/>
          <w14:textFill>
            <w14:solidFill>
              <w14:schemeClr w14:val="tx1"/>
            </w14:solidFill>
          </w14:textFill>
        </w:rPr>
        <w:t>GB/T20001.10-2014</w:t>
      </w:r>
      <w:r>
        <w:rPr>
          <w:rFonts w:hint="eastAsia" w:ascii="仿宋" w:hAnsi="仿宋" w:eastAsia="仿宋"/>
          <w:color w:val="000000" w:themeColor="text1"/>
          <w:sz w:val="28"/>
          <w:szCs w:val="28"/>
          <w14:textFill>
            <w14:solidFill>
              <w14:schemeClr w14:val="tx1"/>
            </w14:solidFill>
          </w14:textFill>
        </w:rPr>
        <w:t>《标准编写规则 第1</w:t>
      </w:r>
      <w:r>
        <w:rPr>
          <w:rFonts w:ascii="仿宋" w:hAnsi="仿宋" w:eastAsia="仿宋"/>
          <w:color w:val="000000" w:themeColor="text1"/>
          <w:sz w:val="28"/>
          <w:szCs w:val="28"/>
          <w14:textFill>
            <w14:solidFill>
              <w14:schemeClr w14:val="tx1"/>
            </w14:solidFill>
          </w14:textFill>
        </w:rPr>
        <w:t>0</w:t>
      </w:r>
      <w:r>
        <w:rPr>
          <w:rFonts w:hint="eastAsia" w:ascii="仿宋" w:hAnsi="仿宋" w:eastAsia="仿宋"/>
          <w:color w:val="000000" w:themeColor="text1"/>
          <w:sz w:val="28"/>
          <w:szCs w:val="28"/>
          <w14:textFill>
            <w14:solidFill>
              <w14:schemeClr w14:val="tx1"/>
            </w14:solidFill>
          </w14:textFill>
        </w:rPr>
        <w:t>部分：产品标准》规定。</w:t>
      </w:r>
    </w:p>
    <w:p w14:paraId="72F6D2BB">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2、标准的主要内容 </w:t>
      </w:r>
    </w:p>
    <w:p w14:paraId="0A229534">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1）范围 </w:t>
      </w:r>
    </w:p>
    <w:p w14:paraId="3A33A627">
      <w:pPr>
        <w:ind w:firstLine="42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本文件规定了大型结构整体安装同步施工中</w:t>
      </w:r>
      <w:r>
        <w:rPr>
          <w:rFonts w:hint="eastAsia" w:ascii="仿宋" w:hAnsi="仿宋" w:eastAsia="仿宋"/>
          <w:color w:val="000000" w:themeColor="text1"/>
          <w:sz w:val="28"/>
          <w:szCs w:val="28"/>
          <w:highlight w:val="none"/>
          <w:lang w:val="en-US" w:eastAsia="zh-CN"/>
          <w14:textFill>
            <w14:solidFill>
              <w14:schemeClr w14:val="tx1"/>
            </w14:solidFill>
          </w14:textFill>
        </w:rPr>
        <w:t>风险评估</w:t>
      </w:r>
      <w:r>
        <w:rPr>
          <w:rFonts w:ascii="仿宋" w:hAnsi="仿宋" w:eastAsia="仿宋"/>
          <w:color w:val="000000" w:themeColor="text1"/>
          <w:sz w:val="28"/>
          <w:szCs w:val="28"/>
          <w:highlight w:val="none"/>
          <w14:textFill>
            <w14:solidFill>
              <w14:schemeClr w14:val="tx1"/>
            </w14:solidFill>
          </w14:textFill>
        </w:rPr>
        <w:t>的术语和定义、</w:t>
      </w:r>
      <w:r>
        <w:rPr>
          <w:rFonts w:hint="eastAsia" w:ascii="仿宋" w:hAnsi="仿宋" w:eastAsia="仿宋"/>
          <w:color w:val="000000" w:themeColor="text1"/>
          <w:sz w:val="28"/>
          <w:szCs w:val="28"/>
          <w:highlight w:val="none"/>
          <w14:textFill>
            <w14:solidFill>
              <w14:schemeClr w14:val="tx1"/>
            </w14:solidFill>
          </w14:textFill>
        </w:rPr>
        <w:t>危险源辨识、风险分析、风险评价和风险</w:t>
      </w:r>
      <w:r>
        <w:rPr>
          <w:rFonts w:hint="eastAsia" w:ascii="仿宋" w:hAnsi="仿宋" w:eastAsia="仿宋"/>
          <w:color w:val="000000" w:themeColor="text1"/>
          <w:sz w:val="28"/>
          <w:szCs w:val="28"/>
          <w:highlight w:val="none"/>
          <w:lang w:val="en-US" w:eastAsia="zh-CN"/>
          <w14:textFill>
            <w14:solidFill>
              <w14:schemeClr w14:val="tx1"/>
            </w14:solidFill>
          </w14:textFill>
        </w:rPr>
        <w:t>控制要求</w:t>
      </w:r>
      <w:r>
        <w:rPr>
          <w:rFonts w:ascii="仿宋" w:hAnsi="仿宋" w:eastAsia="仿宋"/>
          <w:color w:val="000000" w:themeColor="text1"/>
          <w:sz w:val="28"/>
          <w:szCs w:val="28"/>
          <w:highlight w:val="none"/>
          <w14:textFill>
            <w14:solidFill>
              <w14:schemeClr w14:val="tx1"/>
            </w14:solidFill>
          </w14:textFill>
        </w:rPr>
        <w:t>。本文件适用于房屋建筑、桥梁、塔桅结构、大型场馆、工业装置等各类大型钢结构或混凝土结构在整体提升、顶升、平移等同步施工过程中，</w:t>
      </w:r>
      <w:r>
        <w:rPr>
          <w:rFonts w:hint="eastAsia" w:ascii="仿宋" w:hAnsi="仿宋" w:eastAsia="仿宋"/>
          <w:color w:val="000000" w:themeColor="text1"/>
          <w:sz w:val="28"/>
          <w:szCs w:val="28"/>
          <w:highlight w:val="none"/>
          <w14:textFill>
            <w14:solidFill>
              <w14:schemeClr w14:val="tx1"/>
            </w14:solidFill>
          </w14:textFill>
        </w:rPr>
        <w:t>对施工</w:t>
      </w:r>
      <w:r>
        <w:rPr>
          <w:rFonts w:hint="eastAsia" w:ascii="仿宋" w:hAnsi="仿宋" w:eastAsia="仿宋"/>
          <w:color w:val="000000" w:themeColor="text1"/>
          <w:sz w:val="28"/>
          <w:szCs w:val="28"/>
          <w:highlight w:val="none"/>
          <w:lang w:val="en-US" w:eastAsia="zh-CN"/>
          <w14:textFill>
            <w14:solidFill>
              <w14:schemeClr w14:val="tx1"/>
            </w14:solidFill>
          </w14:textFill>
        </w:rPr>
        <w:t>活动</w:t>
      </w:r>
      <w:r>
        <w:rPr>
          <w:rFonts w:hint="eastAsia" w:ascii="仿宋" w:hAnsi="仿宋" w:eastAsia="仿宋"/>
          <w:color w:val="000000" w:themeColor="text1"/>
          <w:sz w:val="28"/>
          <w:szCs w:val="28"/>
          <w:highlight w:val="none"/>
          <w14:textFill>
            <w14:solidFill>
              <w14:schemeClr w14:val="tx1"/>
            </w14:solidFill>
          </w14:textFill>
        </w:rPr>
        <w:t>潜在的风险进行辨识、分析、估测，并提出控制措施</w:t>
      </w:r>
      <w:r>
        <w:rPr>
          <w:rFonts w:hint="eastAsia" w:ascii="仿宋" w:hAnsi="仿宋" w:eastAsia="仿宋"/>
          <w:color w:val="000000" w:themeColor="text1"/>
          <w:sz w:val="28"/>
          <w:szCs w:val="28"/>
          <w:highlight w:val="none"/>
          <w:lang w:val="en-US" w:eastAsia="zh-CN"/>
          <w14:textFill>
            <w14:solidFill>
              <w14:schemeClr w14:val="tx1"/>
            </w14:solidFill>
          </w14:textFill>
        </w:rPr>
        <w:t>的系列活动。</w:t>
      </w:r>
    </w:p>
    <w:p w14:paraId="2E29DB97">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2）规范性引用文件 </w:t>
      </w:r>
    </w:p>
    <w:p w14:paraId="7136BFE5">
      <w:pPr>
        <w:ind w:firstLine="42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列出了本文件中引用到的其他标准的标准编号和名称。</w:t>
      </w:r>
    </w:p>
    <w:p w14:paraId="46341D84">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3）术语和定义 </w:t>
      </w:r>
    </w:p>
    <w:p w14:paraId="1F742209">
      <w:pPr>
        <w:autoSpaceDE w:val="0"/>
        <w:autoSpaceDN w:val="0"/>
        <w:adjustRightInd w:val="0"/>
        <w:ind w:firstLine="420"/>
        <w:jc w:val="left"/>
        <w:rPr>
          <w:rFonts w:hint="eastAsia" w:asci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s="仿宋_GB2312"/>
          <w:color w:val="000000" w:themeColor="text1"/>
          <w:kern w:val="0"/>
          <w:sz w:val="28"/>
          <w:szCs w:val="28"/>
          <w14:textFill>
            <w14:solidFill>
              <w14:schemeClr w14:val="tx1"/>
            </w14:solidFill>
          </w14:textFill>
        </w:rPr>
        <w:t>本文件给出了同步安装过程中涉及的常用术语以及本文件中出现的需要特别解释的部分术语的定义。为了避免定义重复及标准的简练，未列出部分常用的简单类术语和一些非特异性术语，这些术语可在其他标准或名词术语出版物中查询到。</w:t>
      </w:r>
    </w:p>
    <w:p w14:paraId="32A2605B">
      <w:pPr>
        <w:rPr>
          <w:rFonts w:hint="default"/>
          <w:color w:val="000000" w:themeColor="text1"/>
          <w:lang w:val="en-US" w:eastAsia="zh-CN"/>
          <w14:textFill>
            <w14:solidFill>
              <w14:schemeClr w14:val="tx1"/>
            </w14:solidFill>
          </w14:textFill>
        </w:rPr>
      </w:pPr>
      <w:r>
        <w:rPr>
          <w:rFonts w:hint="eastAsia" w:ascii="仿宋_GB2312" w:eastAsia="仿宋_GB2312" w:cs="仿宋_GB2312"/>
          <w:color w:val="000000" w:themeColor="text1"/>
          <w:kern w:val="0"/>
          <w:sz w:val="28"/>
          <w:szCs w:val="28"/>
          <w:lang w:val="en-US" w:eastAsia="zh-CN"/>
          <w14:textFill>
            <w14:solidFill>
              <w14:schemeClr w14:val="tx1"/>
            </w14:solidFill>
          </w14:textFill>
        </w:rPr>
        <w:t>4）基本要求</w:t>
      </w:r>
    </w:p>
    <w:p w14:paraId="330397AC">
      <w:pPr>
        <w:pStyle w:val="2"/>
        <w:ind w:firstLine="560" w:firstLineChars="200"/>
        <w:rPr>
          <w:rFonts w:hint="default"/>
          <w:color w:val="000000" w:themeColor="text1"/>
          <w:lang w:val="en-US" w:eastAsia="zh-CN"/>
          <w14:textFill>
            <w14:solidFill>
              <w14:schemeClr w14:val="tx1"/>
            </w14:solidFill>
          </w14:textFil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本文件给出了风险评估的基本要求，包括</w:t>
      </w:r>
      <w:bookmarkStart w:id="0" w:name="_Toc22538"/>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评估方法选择</w:t>
      </w:r>
      <w:bookmarkEnd w:id="0"/>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、评估实施步骤、风险等级划分、评估结论应用、评估工作要求、风险控制要求。</w:t>
      </w:r>
    </w:p>
    <w:p w14:paraId="191D71BA">
      <w:pPr>
        <w:rPr>
          <w:rFonts w:hint="default" w:ascii="仿宋_GB2312" w:hAnsi="Times New Roman"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Times New Roman" w:eastAsia="仿宋_GB2312" w:cs="仿宋_GB2312"/>
          <w:color w:val="000000" w:themeColor="text1"/>
          <w:kern w:val="0"/>
          <w:sz w:val="28"/>
          <w:szCs w:val="28"/>
          <w:lang w:val="en-US" w:eastAsia="zh-CN"/>
          <w14:textFill>
            <w14:solidFill>
              <w14:schemeClr w14:val="tx1"/>
            </w14:solidFill>
          </w14:textFill>
        </w:rPr>
        <w:t>5）专项风险评估</w:t>
      </w:r>
    </w:p>
    <w:p w14:paraId="5101F257">
      <w:pPr>
        <w:pStyle w:val="2"/>
        <w:ind w:firstLine="560" w:firstLineChars="200"/>
        <w:rPr>
          <w:rFonts w:hint="default"/>
          <w:color w:val="000000" w:themeColor="text1"/>
          <w:lang w:val="en-US" w:eastAsia="zh-CN"/>
          <w14:textFill>
            <w14:solidFill>
              <w14:schemeClr w14:val="tx1"/>
            </w14:solidFill>
          </w14:textFil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本文件给出了专项风险评估的基本流程，包括以下步骤：</w:t>
      </w:r>
    </w:p>
    <w:p w14:paraId="518A9124">
      <w:pPr>
        <w:rPr>
          <w:rFonts w:hint="default"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①风险辨识与风险分析</w:t>
      </w:r>
    </w:p>
    <w:p w14:paraId="3BDEB0B9">
      <w:pPr>
        <w:pStyle w:val="2"/>
        <w:ind w:firstLine="560" w:firstLineChars="200"/>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风险辨识与风险分析应包括5个步骤:工程资料的收集整理、施工现场地质水文条件和环境条件的调查(或补充勘察)、项目安全管理能力与施工队伍素质调査、施工作业程序分解和风险事件辨识、致险因素及风险事件后果类型分析。</w:t>
      </w:r>
    </w:p>
    <w:p w14:paraId="3868A21E">
      <w:pPr>
        <w:pStyle w:val="2"/>
        <w:ind w:firstLine="560" w:firstLineChars="200"/>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风险辨识需收集、整理的相关工程资料应包括本工程的可行性研究报告、环评报告、工程地质勘察报告、设计风险评估报告(如有）、初步设计文件、施工图设计文件、工程施工组织设计文件</w:t>
      </w:r>
      <w:r>
        <w:rPr>
          <w:rFonts w:hint="eastAsia" w:ascii="仿宋_GB2312" w:eastAsia="仿宋_GB2312" w:cs="仿宋_GB2312"/>
          <w:color w:val="000000" w:themeColor="text1"/>
          <w:kern w:val="0"/>
          <w:sz w:val="28"/>
          <w:szCs w:val="28"/>
          <w:lang w:val="en-US" w:eastAsia="zh-CN" w:bidi="ar-SA"/>
          <w14:textFill>
            <w14:solidFill>
              <w14:schemeClr w14:val="tx1"/>
            </w14:solidFill>
          </w14:textFill>
          <w14:ligatures w14:val="standardContextual"/>
        </w:rPr>
        <w:t>等。</w:t>
      </w:r>
    </w:p>
    <w:p w14:paraId="49476E90">
      <w:pPr>
        <w:pStyle w:val="2"/>
        <w:ind w:firstLine="560" w:firstLineChars="200"/>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施工现场地质水文条件和环境条件的调查应包括地质条件、气象水文条件、周边环境条件、现场开挖揭露地质情况的差异、周边环境的变化情况。</w:t>
      </w:r>
    </w:p>
    <w:p w14:paraId="0A547012">
      <w:pPr>
        <w:pStyle w:val="2"/>
        <w:ind w:firstLine="560" w:firstLineChars="200"/>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项目安全管理能力与施工队伍素质调査应包括施工企业资质、业绩及信誉评价</w:t>
      </w:r>
      <w:r>
        <w:rPr>
          <w:rFonts w:hint="eastAsia" w:ascii="仿宋_GB2312" w:eastAsia="仿宋_GB2312" w:cs="仿宋_GB2312"/>
          <w:color w:val="000000" w:themeColor="text1"/>
          <w:kern w:val="0"/>
          <w:sz w:val="28"/>
          <w:szCs w:val="28"/>
          <w:lang w:val="en-US" w:eastAsia="zh-CN" w:bidi="ar-SA"/>
          <w14:textFill>
            <w14:solidFill>
              <w14:schemeClr w14:val="tx1"/>
            </w14:solidFill>
          </w14:textFill>
          <w14:ligatures w14:val="standardContextual"/>
        </w:rPr>
        <w:t>、</w:t>
      </w: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专业分包及劳务分包情况</w:t>
      </w:r>
      <w:r>
        <w:rPr>
          <w:rFonts w:hint="eastAsia" w:ascii="仿宋_GB2312" w:eastAsia="仿宋_GB2312" w:cs="仿宋_GB2312"/>
          <w:color w:val="000000" w:themeColor="text1"/>
          <w:kern w:val="0"/>
          <w:sz w:val="28"/>
          <w:szCs w:val="28"/>
          <w:lang w:val="en-US" w:eastAsia="zh-CN" w:bidi="ar-SA"/>
          <w14:textFill>
            <w14:solidFill>
              <w14:schemeClr w14:val="tx1"/>
            </w14:solidFill>
          </w14:textFill>
          <w14:ligatures w14:val="standardContextual"/>
        </w:rPr>
        <w:t>、</w:t>
      </w: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班组作业经验</w:t>
      </w:r>
      <w:r>
        <w:rPr>
          <w:rFonts w:hint="eastAsia" w:ascii="仿宋_GB2312" w:eastAsia="仿宋_GB2312" w:cs="仿宋_GB2312"/>
          <w:color w:val="000000" w:themeColor="text1"/>
          <w:kern w:val="0"/>
          <w:sz w:val="28"/>
          <w:szCs w:val="28"/>
          <w:lang w:val="en-US" w:eastAsia="zh-CN" w:bidi="ar-SA"/>
          <w14:textFill>
            <w14:solidFill>
              <w14:schemeClr w14:val="tx1"/>
            </w14:solidFill>
          </w14:textFill>
          <w14:ligatures w14:val="standardContextual"/>
        </w:rPr>
        <w:t>等</w:t>
      </w: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w:t>
      </w:r>
    </w:p>
    <w:p w14:paraId="737060AB">
      <w:pPr>
        <w:pStyle w:val="2"/>
        <w:ind w:firstLine="560" w:firstLineChars="200"/>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施工作业程序分解和风险事件辨识应包括：依据施工图设计文件以及施工组织设计等，通过现场调查、评估小组讨论、专家咨询等方式将施工过程划为不同的作业活动；辨识各作业活动中可能发生的典型风险事件类型。</w:t>
      </w:r>
    </w:p>
    <w:p w14:paraId="7298C829">
      <w:pPr>
        <w:pStyle w:val="2"/>
        <w:ind w:firstLine="560" w:firstLineChars="200"/>
        <w:rPr>
          <w:rFonts w:hint="eastAsia"/>
          <w:color w:val="000000" w:themeColor="text1"/>
          <w:lang w:val="en-US" w:eastAsia="zh-CN"/>
          <w14:textFill>
            <w14:solidFill>
              <w14:schemeClr w14:val="tx1"/>
            </w14:solidFill>
          </w14:textFil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致险因素及风险事件后果类型分析应包括从物的不安全状态、人的不安全行为、环境因素以及管理因素分析致险因素；从人员伤亡和直接经济损失等方面分析风险事件后果类型</w:t>
      </w:r>
      <w:r>
        <w:rPr>
          <w:rFonts w:hint="eastAsia" w:ascii="仿宋_GB2312" w:eastAsia="仿宋_GB2312" w:cs="仿宋_GB2312"/>
          <w:color w:val="000000" w:themeColor="text1"/>
          <w:kern w:val="0"/>
          <w:sz w:val="28"/>
          <w:szCs w:val="28"/>
          <w:lang w:val="en-US" w:eastAsia="zh-CN" w:bidi="ar-SA"/>
          <w14:textFill>
            <w14:solidFill>
              <w14:schemeClr w14:val="tx1"/>
            </w14:solidFill>
          </w14:textFill>
          <w14:ligatures w14:val="standardContextual"/>
        </w:rPr>
        <w:t>。</w:t>
      </w:r>
    </w:p>
    <w:p w14:paraId="5462DEAE">
      <w:pP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②风险估测</w:t>
      </w:r>
    </w:p>
    <w:p w14:paraId="4ECD6D8C">
      <w:pPr>
        <w:pStyle w:val="2"/>
        <w:ind w:firstLine="560" w:firstLineChars="200"/>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风险估测应采用定性或定量的方法对风险事件发生的可能性及严重程度进行估测。风险等级由风险事件可能性和风险事件严重程度组成的风险矩阵综合确定。风险估测方法应结合施工组织设计、风险事件的特点等因素确定。风险估测分为一般风险源风险估测和重大风险源风险估测，应对一般风险源风险估测中风险等级较高的风险源列为重大风险源，并开展重大风险源风险估测。</w:t>
      </w:r>
    </w:p>
    <w:p w14:paraId="4408BDA8">
      <w:pPr>
        <w:pStyle w:val="2"/>
        <w:ind w:firstLine="560" w:firstLineChars="200"/>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一般风险源</w:t>
      </w:r>
      <w:bookmarkStart w:id="4" w:name="_GoBack"/>
      <w:bookmarkEnd w:id="4"/>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风险估测宜采用定性（如检查表法）或半定量方法（如LEC法）。重大作业活动风险估测可采用定性与定量相结合方法，分别估测风险事件可能性和严重程度，综合确定重大风险源风险等级。风险事件后果严重程度的估测方法宜采用专家调查法，风险事件可能性的估测方法宜采用指标体系法</w:t>
      </w:r>
      <w:r>
        <w:rPr>
          <w:rFonts w:hint="eastAsia" w:ascii="仿宋_GB2312" w:eastAsia="仿宋_GB2312" w:cs="仿宋_GB2312"/>
          <w:color w:val="000000" w:themeColor="text1"/>
          <w:kern w:val="0"/>
          <w:sz w:val="28"/>
          <w:szCs w:val="28"/>
          <w:lang w:val="en-US" w:eastAsia="zh-CN" w:bidi="ar-SA"/>
          <w14:textFill>
            <w14:solidFill>
              <w14:schemeClr w14:val="tx1"/>
            </w14:solidFill>
          </w14:textFill>
          <w14:ligatures w14:val="standardContextual"/>
        </w:rPr>
        <w:t>。</w:t>
      </w: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权重系数可采用重要性排序法、层次分析法、复杂度分析法等方法确定，必要时可综合运用多种方法进行比对后确定。本标准推荐“按评估指标重要性排序确定权重取值”的方法确定，将各评估指标按重要性从高到低顺序进行排序，可采用权重系数对各评估指标重要性进行区分。</w:t>
      </w:r>
    </w:p>
    <w:p w14:paraId="72BEBBAA">
      <w:pPr>
        <w:pStyle w:val="2"/>
        <w:rPr>
          <w:rFonts w:hint="default"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6）风险控制措施</w:t>
      </w:r>
    </w:p>
    <w:p w14:paraId="0FFD83CC">
      <w:pPr>
        <w:ind w:firstLine="560" w:firstLineChars="200"/>
        <w:rPr>
          <w:rFonts w:hint="default"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default"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应根据风险评估结果与接受准则，提出风险控制措施。对于重大作业活动，还应根据不同的风险等级提出分级控制措施，确定层级责任和责任人，实施现场管理和监控预警</w:t>
      </w: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w:t>
      </w:r>
    </w:p>
    <w:p w14:paraId="2FE38DFF">
      <w:pPr>
        <w:pStyle w:val="2"/>
        <w:rPr>
          <w:rFonts w:hint="default"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7）风险评估报告</w:t>
      </w:r>
    </w:p>
    <w:p w14:paraId="04CCBFA7">
      <w:pPr>
        <w:ind w:firstLine="560" w:firstLineChars="200"/>
        <w:rPr>
          <w:rFonts w:hint="default"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pPr>
      <w:r>
        <w:rPr>
          <w:rFonts w:hint="default" w:ascii="仿宋_GB2312" w:hAnsi="Times New Roman" w:eastAsia="仿宋_GB2312" w:cs="仿宋_GB2312"/>
          <w:color w:val="000000" w:themeColor="text1"/>
          <w:kern w:val="0"/>
          <w:sz w:val="28"/>
          <w:szCs w:val="28"/>
          <w:lang w:val="en-US" w:eastAsia="zh-CN" w:bidi="ar-SA"/>
          <w14:textFill>
            <w14:solidFill>
              <w14:schemeClr w14:val="tx1"/>
            </w14:solidFill>
          </w14:textFill>
          <w14:ligatures w14:val="standardContextual"/>
        </w:rPr>
        <w:t>风险评估报告应反映风险评估过程的全部工作，将风险评估过程中的工作记录、采用的评估方法、获得的评估结果、风险控制措施建议等都应写人评估报告。风险评估报告应客观科学、内容全面、文字简洁、数据完整，提出的风险控制措施具有可操作性。</w:t>
      </w:r>
      <w:bookmarkStart w:id="1" w:name="_Toc14659"/>
    </w:p>
    <w:p w14:paraId="45A4AAFD">
      <w:pPr>
        <w:ind w:firstLine="560" w:firstLineChars="200"/>
        <w:rPr>
          <w:rFonts w:hint="eastAsia" w:ascii="仿宋_GB2312" w:hAnsi="Times New Roman" w:eastAsia="仿宋_GB2312" w:cs="仿宋_GB2312"/>
          <w:b w:val="0"/>
          <w:bCs w:val="0"/>
          <w:color w:val="000000" w:themeColor="text1"/>
          <w:kern w:val="0"/>
          <w:sz w:val="28"/>
          <w:szCs w:val="28"/>
          <w:lang w:val="en-US" w:eastAsia="zh-CN" w:bidi="ar-SA"/>
          <w14:textFill>
            <w14:solidFill>
              <w14:schemeClr w14:val="tx1"/>
            </w14:solidFill>
          </w14:textFill>
          <w14:ligatures w14:val="standardContextual"/>
        </w:rPr>
      </w:pPr>
      <w:r>
        <w:rPr>
          <w:rFonts w:hint="eastAsia" w:ascii="仿宋_GB2312" w:hAnsi="Times New Roman" w:eastAsia="仿宋_GB2312" w:cs="仿宋_GB2312"/>
          <w:b w:val="0"/>
          <w:bCs w:val="0"/>
          <w:color w:val="000000" w:themeColor="text1"/>
          <w:kern w:val="0"/>
          <w:sz w:val="28"/>
          <w:szCs w:val="28"/>
          <w:lang w:val="en-US" w:eastAsia="zh-CN" w:bidi="ar-SA"/>
          <w14:textFill>
            <w14:solidFill>
              <w14:schemeClr w14:val="tx1"/>
            </w14:solidFill>
          </w14:textFill>
          <w14:ligatures w14:val="standardContextual"/>
        </w:rPr>
        <w:t>专项风险评估报告应包含以下</w:t>
      </w:r>
      <w:bookmarkEnd w:id="1"/>
      <w:r>
        <w:rPr>
          <w:rFonts w:hint="eastAsia" w:ascii="仿宋_GB2312" w:hAnsi="Times New Roman" w:eastAsia="仿宋_GB2312" w:cs="仿宋_GB2312"/>
          <w:b w:val="0"/>
          <w:bCs w:val="0"/>
          <w:color w:val="000000" w:themeColor="text1"/>
          <w:kern w:val="0"/>
          <w:sz w:val="28"/>
          <w:szCs w:val="28"/>
          <w:lang w:val="en-US" w:eastAsia="zh-CN" w:bidi="ar-SA"/>
          <w14:textFill>
            <w14:solidFill>
              <w14:schemeClr w14:val="tx1"/>
            </w14:solidFill>
          </w14:textFill>
          <w14:ligatures w14:val="standardContextual"/>
        </w:rPr>
        <w:t>编制依据、工程概况、评估过程和评估方法、评估内容、风险控制措施建议、评估结论及附件。</w:t>
      </w:r>
      <w:bookmarkStart w:id="2" w:name="_Toc15107"/>
    </w:p>
    <w:p w14:paraId="11B454C1">
      <w:pPr>
        <w:ind w:firstLine="560" w:firstLineChars="200"/>
        <w:rPr>
          <w:rFonts w:hint="default" w:ascii="仿宋_GB2312" w:hAnsi="Times New Roman" w:eastAsia="仿宋_GB2312" w:cs="仿宋_GB2312"/>
          <w:color w:val="000000" w:themeColor="text1"/>
          <w:kern w:val="0"/>
          <w:sz w:val="28"/>
          <w:szCs w:val="28"/>
          <w:highlight w:val="yellow"/>
          <w:lang w:val="en-US" w:eastAsia="zh-CN" w:bidi="ar-SA"/>
          <w14:textFill>
            <w14:solidFill>
              <w14:schemeClr w14:val="tx1"/>
            </w14:solidFill>
          </w14:textFill>
          <w14:ligatures w14:val="standardContextual"/>
        </w:rPr>
      </w:pPr>
      <w:r>
        <w:rPr>
          <w:rFonts w:hint="eastAsia" w:ascii="仿宋_GB2312" w:hAnsi="Times New Roman" w:eastAsia="仿宋_GB2312" w:cs="仿宋_GB2312"/>
          <w:b w:val="0"/>
          <w:bCs w:val="0"/>
          <w:color w:val="000000" w:themeColor="text1"/>
          <w:kern w:val="0"/>
          <w:sz w:val="28"/>
          <w:szCs w:val="28"/>
          <w:lang w:val="en-US" w:eastAsia="zh-CN" w:bidi="ar-SA"/>
          <w14:textFill>
            <w14:solidFill>
              <w14:schemeClr w14:val="tx1"/>
            </w14:solidFill>
          </w14:textFill>
          <w14:ligatures w14:val="standardContextual"/>
        </w:rPr>
        <w:t>大型结构整体安装同步施工专项风险评估报告编制完成后，应组织评审。</w:t>
      </w:r>
      <w:bookmarkEnd w:id="2"/>
      <w:bookmarkStart w:id="3" w:name="_Toc21170"/>
      <w:r>
        <w:rPr>
          <w:rFonts w:hint="eastAsia" w:ascii="仿宋_GB2312" w:hAnsi="Times New Roman" w:eastAsia="仿宋_GB2312" w:cs="仿宋_GB2312"/>
          <w:b w:val="0"/>
          <w:bCs w:val="0"/>
          <w:color w:val="000000" w:themeColor="text1"/>
          <w:kern w:val="0"/>
          <w:sz w:val="28"/>
          <w:szCs w:val="28"/>
          <w:lang w:val="en-US" w:eastAsia="zh-CN" w:bidi="ar-SA"/>
          <w14:textFill>
            <w14:solidFill>
              <w14:schemeClr w14:val="tx1"/>
            </w14:solidFill>
          </w14:textFill>
          <w14:ligatures w14:val="standardContextual"/>
        </w:rPr>
        <w:t>大型结构整体安装同步施工专项风险评估报告应由施工单位组织评审。</w:t>
      </w:r>
      <w:bookmarkEnd w:id="3"/>
    </w:p>
    <w:p w14:paraId="2EDCD265">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三、标准涉及专利情况 </w:t>
      </w:r>
    </w:p>
    <w:p w14:paraId="29FF6694">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本标准不涉及</w:t>
      </w:r>
      <w:r>
        <w:rPr>
          <w:rFonts w:hint="eastAsia" w:eastAsia="仿宋"/>
          <w:color w:val="000000" w:themeColor="text1"/>
          <w:sz w:val="28"/>
          <w:szCs w:val="28"/>
          <w14:textFill>
            <w14:solidFill>
              <w14:schemeClr w14:val="tx1"/>
            </w14:solidFill>
          </w14:textFill>
        </w:rPr>
        <w:t>专利</w:t>
      </w:r>
      <w:r>
        <w:rPr>
          <w:rFonts w:hint="eastAsia" w:ascii="仿宋" w:hAnsi="仿宋" w:eastAsia="仿宋"/>
          <w:color w:val="000000" w:themeColor="text1"/>
          <w:sz w:val="28"/>
          <w:szCs w:val="28"/>
          <w14:textFill>
            <w14:solidFill>
              <w14:schemeClr w14:val="tx1"/>
            </w14:solidFill>
          </w14:textFill>
        </w:rPr>
        <w:t xml:space="preserve">。 </w:t>
      </w:r>
    </w:p>
    <w:p w14:paraId="196F9FFD">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四、预期达到的社会效益、对产业发展的作用等情况 </w:t>
      </w:r>
    </w:p>
    <w:p w14:paraId="05A1FBCD">
      <w:pPr>
        <w:ind w:firstLine="560" w:firstLineChars="200"/>
        <w:rPr>
          <w:rFonts w:hint="eastAsia"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大型结构同步施工技术广泛应用于桥梁、场馆、高层建筑等领域，其施工安全与精度控制至关重要。本标准的制定与实施：将显著提升同步施工过程的透明度和可控性，降低安全事故风险；推动监测技术的标准化与智能化发展，促进新技术、新设备的应用；为施工单位、监理单位及业主提供统一的技术依据，提升行业整体水平；有助于我国在大型工程施工技术领域保持国际领先地位，推动高端装备与智能建造产业发展。</w:t>
      </w:r>
    </w:p>
    <w:p w14:paraId="0CF0DED7">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五、重大分歧意见的处理经过和依据 </w:t>
      </w:r>
    </w:p>
    <w:p w14:paraId="30E0AA4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无。 </w:t>
      </w:r>
    </w:p>
    <w:p w14:paraId="00BE1CFF">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六、贯彻标准的要求和措施建议 </w:t>
      </w:r>
    </w:p>
    <w:p w14:paraId="5F61868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建议自本标准发布之日起10个工作日后实施。 </w:t>
      </w:r>
    </w:p>
    <w:p w14:paraId="31C301D1">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七、废止现行相关标准的建议 </w:t>
      </w:r>
    </w:p>
    <w:p w14:paraId="3C0BA0EA">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无。 </w:t>
      </w:r>
    </w:p>
    <w:p w14:paraId="4FD86B3D">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八、其他应予说明的事项 </w:t>
      </w:r>
    </w:p>
    <w:p w14:paraId="4F2AA04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D7D97"/>
    <w:multiLevelType w:val="multilevel"/>
    <w:tmpl w:val="26ED7D97"/>
    <w:lvl w:ilvl="0" w:tentative="0">
      <w:start w:val="1"/>
      <w:numFmt w:val="decimal"/>
      <w:pStyle w:val="4"/>
      <w:lvlText w:val="%1"/>
      <w:lvlJc w:val="left"/>
      <w:pPr>
        <w:ind w:left="432" w:hanging="432"/>
      </w:pPr>
      <w:rPr>
        <w:rFonts w:asciiTheme="minorEastAsia" w:hAnsiTheme="minorEastAsia" w:eastAsiaTheme="minorEastAsia"/>
        <w:b w:val="0"/>
        <w:bCs/>
      </w:rPr>
    </w:lvl>
    <w:lvl w:ilvl="1" w:tentative="0">
      <w:start w:val="1"/>
      <w:numFmt w:val="decimal"/>
      <w:pStyle w:val="6"/>
      <w:lvlText w:val="%1.%2"/>
      <w:lvlJc w:val="left"/>
      <w:pPr>
        <w:ind w:left="576" w:hanging="576"/>
      </w:pPr>
      <w:rPr>
        <w:b w:val="0"/>
        <w:bCs w:val="0"/>
      </w:rPr>
    </w:lvl>
    <w:lvl w:ilvl="2" w:tentative="0">
      <w:start w:val="1"/>
      <w:numFmt w:val="decimal"/>
      <w:pStyle w:val="7"/>
      <w:lvlText w:val="%1.%2.%3"/>
      <w:lvlJc w:val="left"/>
      <w:pPr>
        <w:ind w:left="720" w:hanging="720"/>
      </w:pPr>
    </w:lvl>
    <w:lvl w:ilvl="3" w:tentative="0">
      <w:start w:val="1"/>
      <w:numFmt w:val="decimal"/>
      <w:pStyle w:val="8"/>
      <w:lvlText w:val="%1.%2.%3.%4"/>
      <w:lvlJc w:val="left"/>
      <w:pPr>
        <w:ind w:left="864" w:hanging="864"/>
      </w:pPr>
    </w:lvl>
    <w:lvl w:ilvl="4" w:tentative="0">
      <w:start w:val="1"/>
      <w:numFmt w:val="decimal"/>
      <w:lvlText w:val="%1.%2.%3.%4.%5"/>
      <w:lvlJc w:val="left"/>
      <w:pPr>
        <w:ind w:left="1008" w:hanging="1008"/>
      </w:pPr>
      <w:rPr>
        <w:rFonts w:hint="default" w:ascii="Times New Roman" w:hAnsi="Times New Roman" w:cs="Times New Roman"/>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4A1E2784"/>
    <w:multiLevelType w:val="multilevel"/>
    <w:tmpl w:val="4A1E2784"/>
    <w:lvl w:ilvl="0" w:tentative="0">
      <w:start w:val="1"/>
      <w:numFmt w:val="lowerLetter"/>
      <w:pStyle w:val="2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46260FA"/>
    <w:multiLevelType w:val="multilevel"/>
    <w:tmpl w:val="646260FA"/>
    <w:lvl w:ilvl="0" w:tentative="0">
      <w:start w:val="1"/>
      <w:numFmt w:val="decimal"/>
      <w:pStyle w:val="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pStyle w:val="25"/>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eastAsia" w:ascii="黑体" w:eastAsia="黑体"/>
        <w:b w:val="0"/>
        <w:i w:val="0"/>
        <w:sz w:val="21"/>
      </w:rPr>
    </w:lvl>
    <w:lvl w:ilvl="2" w:tentative="0">
      <w:start w:val="1"/>
      <w:numFmt w:val="decimal"/>
      <w:pStyle w:val="2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9"/>
      <w:suff w:val="nothing"/>
      <w:lvlText w:val="%1%2.%3.%4　"/>
      <w:lvlJc w:val="left"/>
      <w:pPr>
        <w:ind w:left="710" w:firstLine="0"/>
      </w:pPr>
      <w:rPr>
        <w:rFonts w:hint="eastAsia" w:ascii="黑体" w:eastAsia="黑体"/>
        <w:b w:val="0"/>
        <w:i w:val="0"/>
        <w:sz w:val="21"/>
      </w:rPr>
    </w:lvl>
    <w:lvl w:ilvl="4" w:tentative="0">
      <w:start w:val="1"/>
      <w:numFmt w:val="decimal"/>
      <w:pStyle w:val="20"/>
      <w:suff w:val="nothing"/>
      <w:lvlText w:val="%1%2.%3.%4.%5　"/>
      <w:lvlJc w:val="left"/>
      <w:pPr>
        <w:ind w:left="0" w:firstLine="0"/>
      </w:pPr>
      <w:rPr>
        <w:rFonts w:hint="eastAsia" w:ascii="黑体" w:eastAsia="黑体"/>
        <w:b w:val="0"/>
        <w:i w:val="0"/>
        <w:sz w:val="21"/>
      </w:rPr>
    </w:lvl>
    <w:lvl w:ilvl="5" w:tentative="0">
      <w:start w:val="1"/>
      <w:numFmt w:val="decimal"/>
      <w:pStyle w:val="21"/>
      <w:suff w:val="nothing"/>
      <w:lvlText w:val="%1%2.%3.%4.%5.%6　"/>
      <w:lvlJc w:val="left"/>
      <w:pPr>
        <w:ind w:left="0" w:firstLine="0"/>
      </w:pPr>
      <w:rPr>
        <w:rFonts w:hint="eastAsia" w:ascii="黑体" w:eastAsia="黑体"/>
        <w:b w:val="0"/>
        <w:i w:val="0"/>
        <w:sz w:val="21"/>
      </w:rPr>
    </w:lvl>
    <w:lvl w:ilvl="6" w:tentative="0">
      <w:start w:val="1"/>
      <w:numFmt w:val="decimal"/>
      <w:pStyle w:val="2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YjhiNTEyYzU0MDU2MDQ5NDFhNzk3ZDlmMmJhZWEifQ=="/>
  </w:docVars>
  <w:rsids>
    <w:rsidRoot w:val="00051EA4"/>
    <w:rsid w:val="00007084"/>
    <w:rsid w:val="00012388"/>
    <w:rsid w:val="00051EA4"/>
    <w:rsid w:val="000610E1"/>
    <w:rsid w:val="000B094F"/>
    <w:rsid w:val="000F155A"/>
    <w:rsid w:val="000F4CED"/>
    <w:rsid w:val="000F6D51"/>
    <w:rsid w:val="00101D23"/>
    <w:rsid w:val="001056F5"/>
    <w:rsid w:val="00124D17"/>
    <w:rsid w:val="001711AC"/>
    <w:rsid w:val="0019600E"/>
    <w:rsid w:val="001969D8"/>
    <w:rsid w:val="001A5E8F"/>
    <w:rsid w:val="001D2800"/>
    <w:rsid w:val="001D66FC"/>
    <w:rsid w:val="001E0BF6"/>
    <w:rsid w:val="00230F9C"/>
    <w:rsid w:val="002708E1"/>
    <w:rsid w:val="002926D6"/>
    <w:rsid w:val="002B03A5"/>
    <w:rsid w:val="002D695B"/>
    <w:rsid w:val="003206C8"/>
    <w:rsid w:val="00361273"/>
    <w:rsid w:val="003820B4"/>
    <w:rsid w:val="00392973"/>
    <w:rsid w:val="003D0313"/>
    <w:rsid w:val="003D6D15"/>
    <w:rsid w:val="00407335"/>
    <w:rsid w:val="00444206"/>
    <w:rsid w:val="004D3884"/>
    <w:rsid w:val="005157D7"/>
    <w:rsid w:val="00520C0D"/>
    <w:rsid w:val="00571D84"/>
    <w:rsid w:val="005A363D"/>
    <w:rsid w:val="005B50E8"/>
    <w:rsid w:val="005D3358"/>
    <w:rsid w:val="00621880"/>
    <w:rsid w:val="00624B0A"/>
    <w:rsid w:val="006476A0"/>
    <w:rsid w:val="00680831"/>
    <w:rsid w:val="006A36F3"/>
    <w:rsid w:val="006B5F48"/>
    <w:rsid w:val="007128F9"/>
    <w:rsid w:val="007364F0"/>
    <w:rsid w:val="0075130D"/>
    <w:rsid w:val="00761590"/>
    <w:rsid w:val="007B7317"/>
    <w:rsid w:val="00820837"/>
    <w:rsid w:val="00824B49"/>
    <w:rsid w:val="00830414"/>
    <w:rsid w:val="008B3C7F"/>
    <w:rsid w:val="008C4285"/>
    <w:rsid w:val="008D3E3A"/>
    <w:rsid w:val="008E1317"/>
    <w:rsid w:val="00944205"/>
    <w:rsid w:val="00952B10"/>
    <w:rsid w:val="009532B4"/>
    <w:rsid w:val="009746C4"/>
    <w:rsid w:val="0099218E"/>
    <w:rsid w:val="009D60FB"/>
    <w:rsid w:val="009D6DC3"/>
    <w:rsid w:val="00A01B68"/>
    <w:rsid w:val="00A15083"/>
    <w:rsid w:val="00A376A0"/>
    <w:rsid w:val="00AA4CD1"/>
    <w:rsid w:val="00AC043F"/>
    <w:rsid w:val="00AC57EF"/>
    <w:rsid w:val="00AD4B78"/>
    <w:rsid w:val="00AF3573"/>
    <w:rsid w:val="00B02122"/>
    <w:rsid w:val="00B17821"/>
    <w:rsid w:val="00B25A60"/>
    <w:rsid w:val="00B57793"/>
    <w:rsid w:val="00B93467"/>
    <w:rsid w:val="00BA0F37"/>
    <w:rsid w:val="00BA3140"/>
    <w:rsid w:val="00BB6144"/>
    <w:rsid w:val="00BC67D6"/>
    <w:rsid w:val="00BE2051"/>
    <w:rsid w:val="00BE636B"/>
    <w:rsid w:val="00C053C6"/>
    <w:rsid w:val="00C35EE3"/>
    <w:rsid w:val="00C627E5"/>
    <w:rsid w:val="00CA0708"/>
    <w:rsid w:val="00D17ABF"/>
    <w:rsid w:val="00D277CF"/>
    <w:rsid w:val="00D333E3"/>
    <w:rsid w:val="00D442B7"/>
    <w:rsid w:val="00D52941"/>
    <w:rsid w:val="00D55723"/>
    <w:rsid w:val="00D90895"/>
    <w:rsid w:val="00DF0798"/>
    <w:rsid w:val="00E022A8"/>
    <w:rsid w:val="00E418B7"/>
    <w:rsid w:val="00E4753B"/>
    <w:rsid w:val="00E619B2"/>
    <w:rsid w:val="00E70516"/>
    <w:rsid w:val="00E94B68"/>
    <w:rsid w:val="00EA2E87"/>
    <w:rsid w:val="00EB5198"/>
    <w:rsid w:val="00F225EF"/>
    <w:rsid w:val="00F41CA5"/>
    <w:rsid w:val="00F426B1"/>
    <w:rsid w:val="00F42978"/>
    <w:rsid w:val="00F67FCC"/>
    <w:rsid w:val="00F8766A"/>
    <w:rsid w:val="00FA3F57"/>
    <w:rsid w:val="00FD591E"/>
    <w:rsid w:val="00FF0EBB"/>
    <w:rsid w:val="046643CE"/>
    <w:rsid w:val="06DA52C4"/>
    <w:rsid w:val="06F83075"/>
    <w:rsid w:val="1DC667E2"/>
    <w:rsid w:val="3016447C"/>
    <w:rsid w:val="319879C3"/>
    <w:rsid w:val="35A82EC6"/>
    <w:rsid w:val="35E66DA8"/>
    <w:rsid w:val="394871E4"/>
    <w:rsid w:val="3AB54CFA"/>
    <w:rsid w:val="3E703177"/>
    <w:rsid w:val="4368596A"/>
    <w:rsid w:val="4AD827D0"/>
    <w:rsid w:val="53A16E06"/>
    <w:rsid w:val="54DB3E4A"/>
    <w:rsid w:val="562D2631"/>
    <w:rsid w:val="598C16AA"/>
    <w:rsid w:val="5CA14C6C"/>
    <w:rsid w:val="62A1705C"/>
    <w:rsid w:val="67EE08F1"/>
    <w:rsid w:val="6DF61D88"/>
    <w:rsid w:val="72253A9F"/>
    <w:rsid w:val="79915F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14:ligatures w14:val="standardContextual"/>
    </w:rPr>
  </w:style>
  <w:style w:type="paragraph" w:styleId="4">
    <w:name w:val="heading 1"/>
    <w:basedOn w:val="1"/>
    <w:next w:val="1"/>
    <w:qFormat/>
    <w:uiPriority w:val="9"/>
    <w:pPr>
      <w:keepNext/>
      <w:keepLines/>
      <w:numPr>
        <w:ilvl w:val="0"/>
        <w:numId w:val="1"/>
      </w:numPr>
      <w:outlineLvl w:val="0"/>
    </w:pPr>
    <w:rPr>
      <w:rFonts w:ascii="黑体" w:hAnsi="黑体" w:eastAsia="黑体"/>
      <w:kern w:val="44"/>
      <w:sz w:val="32"/>
      <w:szCs w:val="36"/>
      <w:lang w:val="zh-CN"/>
    </w:rPr>
  </w:style>
  <w:style w:type="paragraph" w:styleId="5">
    <w:name w:val="heading 2"/>
    <w:basedOn w:val="4"/>
    <w:next w:val="3"/>
    <w:qFormat/>
    <w:uiPriority w:val="0"/>
    <w:pPr>
      <w:spacing w:before="50" w:beforeLines="50" w:line="360" w:lineRule="auto"/>
      <w:ind w:left="431" w:hanging="431"/>
      <w:outlineLvl w:val="1"/>
    </w:pPr>
    <w:rPr>
      <w:rFonts w:ascii="宋体" w:hAnsi="宋体"/>
      <w:b/>
      <w:sz w:val="28"/>
    </w:rPr>
  </w:style>
  <w:style w:type="paragraph" w:styleId="6">
    <w:name w:val="heading 3"/>
    <w:basedOn w:val="1"/>
    <w:next w:val="1"/>
    <w:qFormat/>
    <w:uiPriority w:val="0"/>
    <w:pPr>
      <w:keepNext/>
      <w:keepLines/>
      <w:numPr>
        <w:ilvl w:val="1"/>
        <w:numId w:val="1"/>
      </w:numPr>
      <w:spacing w:before="50" w:beforeLines="50"/>
      <w:ind w:left="578" w:hanging="578"/>
      <w:outlineLvl w:val="2"/>
    </w:pPr>
    <w:rPr>
      <w:b/>
      <w:bCs/>
      <w:sz w:val="24"/>
    </w:rPr>
  </w:style>
  <w:style w:type="paragraph" w:styleId="7">
    <w:name w:val="heading 4"/>
    <w:basedOn w:val="1"/>
    <w:next w:val="1"/>
    <w:qFormat/>
    <w:uiPriority w:val="0"/>
    <w:pPr>
      <w:keepNext/>
      <w:keepLines/>
      <w:numPr>
        <w:ilvl w:val="2"/>
        <w:numId w:val="1"/>
      </w:numPr>
      <w:spacing w:before="50" w:beforeLines="50" w:after="20" w:afterLines="20"/>
      <w:outlineLvl w:val="3"/>
    </w:pPr>
    <w:rPr>
      <w:b/>
      <w:bCs/>
    </w:rPr>
  </w:style>
  <w:style w:type="paragraph" w:styleId="8">
    <w:name w:val="heading 5"/>
    <w:basedOn w:val="7"/>
    <w:next w:val="3"/>
    <w:qFormat/>
    <w:uiPriority w:val="0"/>
    <w:pPr>
      <w:numPr>
        <w:ilvl w:val="3"/>
      </w:numPr>
      <w:outlineLvl w:val="4"/>
    </w:p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semiHidden/>
    <w:qFormat/>
    <w:uiPriority w:val="0"/>
    <w:pPr>
      <w:ind w:firstLine="100" w:firstLineChars="100"/>
    </w:pPr>
  </w:style>
  <w:style w:type="paragraph" w:styleId="3">
    <w:name w:val="Body Text"/>
    <w:basedOn w:val="1"/>
    <w:next w:val="1"/>
    <w:qFormat/>
    <w:uiPriority w:val="0"/>
    <w:pPr>
      <w:spacing w:line="360" w:lineRule="auto"/>
      <w:ind w:firstLine="200" w:firstLineChars="200"/>
    </w:p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Paragraph"/>
    <w:basedOn w:val="1"/>
    <w:qFormat/>
    <w:uiPriority w:val="34"/>
    <w:pPr>
      <w:ind w:firstLine="420" w:firstLineChars="200"/>
    </w:pPr>
  </w:style>
  <w:style w:type="character" w:customStyle="1" w:styleId="14">
    <w:name w:val="页眉 字符"/>
    <w:basedOn w:val="12"/>
    <w:link w:val="10"/>
    <w:qFormat/>
    <w:uiPriority w:val="99"/>
    <w:rPr>
      <w:sz w:val="18"/>
      <w:szCs w:val="18"/>
    </w:rPr>
  </w:style>
  <w:style w:type="character" w:customStyle="1" w:styleId="15">
    <w:name w:val="页脚 字符"/>
    <w:basedOn w:val="12"/>
    <w:link w:val="9"/>
    <w:qFormat/>
    <w:uiPriority w:val="99"/>
    <w:rPr>
      <w:sz w:val="18"/>
      <w:szCs w:val="18"/>
    </w:rPr>
  </w:style>
  <w:style w:type="paragraph" w:customStyle="1" w:styleId="16">
    <w:name w:val="标准文件_段"/>
    <w:link w:val="17"/>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14:ligatures w14:val="none"/>
    </w:rPr>
  </w:style>
  <w:style w:type="character" w:customStyle="1" w:styleId="17">
    <w:name w:val="标准文件_段 Char"/>
    <w:link w:val="16"/>
    <w:qFormat/>
    <w:uiPriority w:val="0"/>
    <w:rPr>
      <w:rFonts w:ascii="宋体"/>
      <w:kern w:val="0"/>
      <w:szCs w:val="20"/>
      <w14:ligatures w14:val="none"/>
    </w:rPr>
  </w:style>
  <w:style w:type="paragraph" w:customStyle="1" w:styleId="18">
    <w:name w:val="标准文件_正文表标题"/>
    <w:next w:val="16"/>
    <w:qFormat/>
    <w:uiPriority w:val="0"/>
    <w:pPr>
      <w:numPr>
        <w:ilvl w:val="0"/>
        <w:numId w:val="2"/>
      </w:numPr>
      <w:tabs>
        <w:tab w:val="left" w:pos="0"/>
      </w:tabs>
      <w:spacing w:before="50" w:beforeLines="50" w:after="50" w:afterLines="50"/>
      <w:jc w:val="center"/>
    </w:pPr>
    <w:rPr>
      <w:rFonts w:ascii="黑体" w:hAnsi="Times New Roman" w:eastAsia="黑体" w:cs="Times New Roman"/>
      <w:kern w:val="0"/>
      <w:sz w:val="21"/>
      <w:szCs w:val="20"/>
      <w:lang w:val="en-US" w:eastAsia="zh-CN" w:bidi="ar-SA"/>
      <w14:ligatures w14:val="none"/>
    </w:rPr>
  </w:style>
  <w:style w:type="paragraph" w:customStyle="1" w:styleId="19">
    <w:name w:val="标准文件_二级条标题"/>
    <w:next w:val="16"/>
    <w:qFormat/>
    <w:uiPriority w:val="0"/>
    <w:pPr>
      <w:widowControl w:val="0"/>
      <w:numPr>
        <w:ilvl w:val="3"/>
        <w:numId w:val="3"/>
      </w:numPr>
      <w:spacing w:before="50" w:beforeLines="50" w:after="50" w:afterLines="50"/>
      <w:ind w:left="0"/>
      <w:jc w:val="both"/>
      <w:outlineLvl w:val="2"/>
    </w:pPr>
    <w:rPr>
      <w:rFonts w:ascii="黑体" w:hAnsi="Times New Roman" w:eastAsia="黑体" w:cs="Times New Roman"/>
      <w:kern w:val="0"/>
      <w:sz w:val="21"/>
      <w:szCs w:val="20"/>
      <w:lang w:val="en-US" w:eastAsia="zh-CN" w:bidi="ar-SA"/>
      <w14:ligatures w14:val="none"/>
    </w:rPr>
  </w:style>
  <w:style w:type="paragraph" w:customStyle="1" w:styleId="20">
    <w:name w:val="标准文件_三级条标题"/>
    <w:basedOn w:val="19"/>
    <w:next w:val="16"/>
    <w:qFormat/>
    <w:uiPriority w:val="0"/>
    <w:pPr>
      <w:widowControl/>
      <w:numPr>
        <w:ilvl w:val="4"/>
      </w:numPr>
      <w:outlineLvl w:val="3"/>
    </w:pPr>
  </w:style>
  <w:style w:type="paragraph" w:customStyle="1" w:styleId="21">
    <w:name w:val="标准文件_四级条标题"/>
    <w:next w:val="16"/>
    <w:qFormat/>
    <w:uiPriority w:val="0"/>
    <w:pPr>
      <w:widowControl w:val="0"/>
      <w:numPr>
        <w:ilvl w:val="5"/>
        <w:numId w:val="3"/>
      </w:numPr>
      <w:spacing w:before="50" w:beforeLines="50" w:after="50" w:afterLines="50"/>
      <w:jc w:val="both"/>
      <w:outlineLvl w:val="4"/>
    </w:pPr>
    <w:rPr>
      <w:rFonts w:ascii="黑体" w:hAnsi="Times New Roman" w:eastAsia="黑体" w:cs="Times New Roman"/>
      <w:kern w:val="0"/>
      <w:sz w:val="21"/>
      <w:szCs w:val="20"/>
      <w:lang w:val="en-US" w:eastAsia="zh-CN" w:bidi="ar-SA"/>
      <w14:ligatures w14:val="none"/>
    </w:rPr>
  </w:style>
  <w:style w:type="paragraph" w:customStyle="1" w:styleId="22">
    <w:name w:val="标准文件_五级条标题"/>
    <w:next w:val="16"/>
    <w:qFormat/>
    <w:uiPriority w:val="0"/>
    <w:pPr>
      <w:widowControl w:val="0"/>
      <w:numPr>
        <w:ilvl w:val="6"/>
        <w:numId w:val="3"/>
      </w:numPr>
      <w:spacing w:before="50" w:beforeLines="50" w:after="50" w:afterLines="50"/>
      <w:jc w:val="both"/>
      <w:outlineLvl w:val="5"/>
    </w:pPr>
    <w:rPr>
      <w:rFonts w:ascii="黑体" w:hAnsi="Times New Roman" w:eastAsia="黑体" w:cs="Times New Roman"/>
      <w:kern w:val="0"/>
      <w:sz w:val="21"/>
      <w:szCs w:val="20"/>
      <w:lang w:val="en-US" w:eastAsia="zh-CN" w:bidi="ar-SA"/>
      <w14:ligatures w14:val="none"/>
    </w:rPr>
  </w:style>
  <w:style w:type="paragraph" w:customStyle="1" w:styleId="23">
    <w:name w:val="标准文件_章标题"/>
    <w:next w:val="16"/>
    <w:qFormat/>
    <w:uiPriority w:val="0"/>
    <w:pPr>
      <w:numPr>
        <w:ilvl w:val="1"/>
        <w:numId w:val="3"/>
      </w:numPr>
      <w:spacing w:before="100" w:beforeLines="100" w:after="100" w:afterLines="100"/>
      <w:jc w:val="both"/>
      <w:outlineLvl w:val="0"/>
    </w:pPr>
    <w:rPr>
      <w:rFonts w:ascii="黑体" w:hAnsi="Times New Roman" w:eastAsia="黑体" w:cs="Times New Roman"/>
      <w:kern w:val="0"/>
      <w:sz w:val="21"/>
      <w:szCs w:val="20"/>
      <w:lang w:val="en-US" w:eastAsia="zh-CN" w:bidi="ar-SA"/>
      <w14:ligatures w14:val="none"/>
    </w:rPr>
  </w:style>
  <w:style w:type="paragraph" w:customStyle="1" w:styleId="24">
    <w:name w:val="标准文件_一级条标题"/>
    <w:basedOn w:val="23"/>
    <w:next w:val="16"/>
    <w:qFormat/>
    <w:uiPriority w:val="0"/>
    <w:pPr>
      <w:numPr>
        <w:ilvl w:val="2"/>
      </w:numPr>
      <w:spacing w:before="50" w:beforeLines="50" w:after="50" w:afterLines="50"/>
      <w:outlineLvl w:val="1"/>
    </w:pPr>
  </w:style>
  <w:style w:type="paragraph" w:customStyle="1" w:styleId="25">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kern w:val="0"/>
      <w:sz w:val="32"/>
      <w:szCs w:val="20"/>
      <w:lang w:val="en-US" w:eastAsia="zh-CN" w:bidi="ar-SA"/>
      <w14:ligatures w14:val="none"/>
    </w:rPr>
  </w:style>
  <w:style w:type="paragraph" w:customStyle="1" w:styleId="26">
    <w:name w:val="标准文件_二级无标题"/>
    <w:basedOn w:val="19"/>
    <w:qFormat/>
    <w:uiPriority w:val="0"/>
    <w:pPr>
      <w:spacing w:before="0" w:beforeLines="0" w:after="0" w:afterLines="0"/>
      <w:outlineLvl w:val="9"/>
    </w:pPr>
    <w:rPr>
      <w:rFonts w:ascii="宋体" w:eastAsia="宋体"/>
    </w:rPr>
  </w:style>
  <w:style w:type="paragraph" w:customStyle="1" w:styleId="27">
    <w:name w:val="字母编号列项（一级）"/>
    <w:qFormat/>
    <w:uiPriority w:val="0"/>
    <w:pPr>
      <w:numPr>
        <w:ilvl w:val="0"/>
        <w:numId w:val="4"/>
      </w:numPr>
      <w:jc w:val="both"/>
    </w:pPr>
    <w:rPr>
      <w:rFonts w:ascii="宋体" w:hAnsi="Calibri" w:eastAsia="宋体" w:cs="Calibri"/>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3139</Words>
  <Characters>3253</Characters>
  <Lines>91</Lines>
  <Paragraphs>78</Paragraphs>
  <TotalTime>6</TotalTime>
  <ScaleCrop>false</ScaleCrop>
  <LinksUpToDate>false</LinksUpToDate>
  <CharactersWithSpaces>3280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2025-09-21T08:05:00Z</dcterms:created>
  <dc:creator>水 瓶座</dc:creator>
  <cp:lastModifiedBy>chenjl</cp:lastModifiedBy>
  <dcterms:modified xsi:type="dcterms:W3CDTF">2026-03-10T01:05:17Z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eyJoZGlkIjoiZjJhMWY5NzE4MmRlYTJkMjAwMjg3MmRiZTRiYmY5MTYiLCJ1c2VySWQiOiIzMzYzOTQ1NTUifQ==</vt:lpwstr>
  </property>
  <property fmtid="{D5CDD505-2E9C-101B-9397-08002B2CF9AE}" pid="3" name="KSOProductBuildVer">
    <vt:lpwstr>2052-12.1.0.18276</vt:lpwstr>
  </property>
  <property fmtid="{D5CDD505-2E9C-101B-9397-08002B2CF9AE}" pid="4" name="ICV">
    <vt:lpwstr>B38973EE9DC640B8A9E43B68AB816800_12</vt:lpwstr>
  </property>
</Properties>
</file>